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05E7" w14:textId="6FC24E94" w:rsidR="00B85618" w:rsidRPr="00C6337A" w:rsidRDefault="003A7F9D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Witamy </w:t>
      </w:r>
      <w:r w:rsidR="00B85618"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w Starostwie Powiatowym w Gołdapi</w:t>
      </w: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!</w:t>
      </w:r>
    </w:p>
    <w:p w14:paraId="0C4D762F" w14:textId="334A4965" w:rsidR="003A7F9D" w:rsidRPr="00C6337A" w:rsidRDefault="003A7F9D" w:rsidP="00C6337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Nasz urząd działa w oparciu o przepisy ustawy o samorządzie powiatowym, a także na podstawie Statutu Powiatu Gołdapskiego oraz Regulaminu Organizacyjnego Starostwa Powiatowego w Gołdapi. Kierownikiem urzędu jest Starosta Gołdapski. Do zadań Starostwa Powiatowego w Gołdapi należy obsługa organów samorządowych, tj. Zarządu Powiatu w Gołdapi oraz Rady Powiatu w Gołdapi, w stopniu umożliwiającym wykonanie wszystkich zadań, za które odpowiedzialny jest samorząd powiatowy. </w:t>
      </w:r>
    </w:p>
    <w:p w14:paraId="7F14C692" w14:textId="250C9D21" w:rsidR="00633C78" w:rsidRDefault="003A7F9D" w:rsidP="00C6337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Starostwo Powiatowe w Gołdapi ma swoją siedzibę przy ulicy Krótkiej 1 w Gołdapi. Na parterze budynku znajduje się Biuro Obsługi Mieszkańców, które służy pierwszą pomocą każdemu klientowi, który planuje załatwić sprawę w urzędzie. </w:t>
      </w:r>
    </w:p>
    <w:p w14:paraId="40538794" w14:textId="1CD01288" w:rsidR="00194F79" w:rsidRPr="00194F79" w:rsidRDefault="00194F79" w:rsidP="00194F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Do budynku prowadzą dwa wejścia</w:t>
      </w:r>
      <w:r w:rsidR="00AB06E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dostępne dla interesantów</w:t>
      </w:r>
      <w:r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. Pierwsze wejście znajduje się od frontu budynku, od ul. Krótkiej.</w:t>
      </w:r>
      <w:r w:rsidR="00AB06E7" w:rsidRPr="00AB06E7">
        <w:t xml:space="preserve"> </w:t>
      </w:r>
      <w:r w:rsidR="00AB06E7" w:rsidRPr="00AB06E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Do wejścia prowadzą  schody.</w:t>
      </w:r>
      <w:r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Drugie wejście znajduje od strony parkingu do którego dostęp znajduje się od strony ul. Krótkiej oraz ul. Podgórnej.</w:t>
      </w:r>
      <w:r w:rsidR="00AB06E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W</w:t>
      </w:r>
      <w:r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ejście znajduje się na poziomie parkingu.</w:t>
      </w:r>
      <w:r w:rsidR="00AB06E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Za</w:t>
      </w:r>
      <w:r w:rsidR="00AB06E7" w:rsidRPr="00AB06E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wyjściem znajdują się schody, przy których zainstalowano ukośną platformę schodową.</w:t>
      </w:r>
      <w:r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</w:t>
      </w:r>
    </w:p>
    <w:p w14:paraId="5F852124" w14:textId="45B58ECC" w:rsidR="00194F79" w:rsidRPr="00194F79" w:rsidRDefault="00AB06E7" w:rsidP="00194F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Na parkingu</w:t>
      </w:r>
      <w:r w:rsidR="00194F79"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wyznaczono dwa miejsca parkingowe dla osób niepełnosprawnych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oraz jedno dla osób z dziećmi załatwiających sprawy w urzędzie</w:t>
      </w:r>
      <w:r w:rsidR="00194F79"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.</w:t>
      </w:r>
    </w:p>
    <w:p w14:paraId="087E0DAA" w14:textId="61340C70" w:rsidR="00194F79" w:rsidRDefault="00194F79" w:rsidP="00194F7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194F79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Do budynku i wszystkich jego pomieszczeń można wejść z psem asystującym.</w:t>
      </w:r>
    </w:p>
    <w:p w14:paraId="11AFE593" w14:textId="2406FD1D" w:rsidR="00AB06E7" w:rsidRPr="00C6337A" w:rsidRDefault="00AB06E7" w:rsidP="00AB06E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>
        <w:rPr>
          <w:rFonts w:ascii="Calibri" w:eastAsia="Times New Roman" w:hAnsi="Calibri" w:cs="Calibri"/>
          <w:lang w:eastAsia="pl-PL"/>
        </w:rPr>
        <w:t>Na każdej kondygnacji znajdują się plany dotykowe informujące o rozkładzie pomieszczeń na danym piętrze. Wejścia do pomieszczeń oznaczono tabliczkami w języku Braille’a znajdującymi się nad klamką.</w:t>
      </w:r>
    </w:p>
    <w:p w14:paraId="6FF4CCCF" w14:textId="64E6B4D6" w:rsidR="00C6337A" w:rsidRPr="00C6337A" w:rsidRDefault="00C6337A" w:rsidP="00C6337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Urząd pracuje w godzinach od 7.30 do 16.00 w poniedziałek,  do 15.30 – wtorek-czwartek  oraz w piątek do 15.00</w:t>
      </w:r>
    </w:p>
    <w:p w14:paraId="45EF2E83" w14:textId="01B90D92" w:rsidR="00633C78" w:rsidRPr="00C6337A" w:rsidRDefault="00633C7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Starostwo Powiatowe w Gołdapi realizuje zadania powiatu (o charakterze ponadgminnym) w zakresie:</w:t>
      </w:r>
      <w:r w:rsidRPr="00C6337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5023F3C" w14:textId="408B3786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edukacji publicznej;</w:t>
      </w:r>
    </w:p>
    <w:p w14:paraId="7240C4AC" w14:textId="18CDBC81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promocji i ochrony zdrowia;</w:t>
      </w:r>
    </w:p>
    <w:p w14:paraId="39C5FFA2" w14:textId="2BBE75AC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pomocy społecznej;</w:t>
      </w:r>
    </w:p>
    <w:p w14:paraId="59969EF1" w14:textId="5EC019F7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transportu zbiorowego i dróg publicznych;</w:t>
      </w:r>
    </w:p>
    <w:p w14:paraId="025C6124" w14:textId="5F16169E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kultury oraz ochrony zabytków i opieki nad zabytkami;</w:t>
      </w:r>
    </w:p>
    <w:p w14:paraId="2D075089" w14:textId="1FCC6D34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kultury fizycznej i turystyki;</w:t>
      </w:r>
    </w:p>
    <w:p w14:paraId="0CA962EE" w14:textId="41C77783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geodezji, kartografii i katastru;</w:t>
      </w:r>
    </w:p>
    <w:p w14:paraId="5944EFB1" w14:textId="3509E770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gospodarki nieruchomościami;</w:t>
      </w:r>
    </w:p>
    <w:p w14:paraId="44AC5216" w14:textId="684B8080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administracji architektoniczno-budowlanej;</w:t>
      </w:r>
    </w:p>
    <w:p w14:paraId="263F1CFC" w14:textId="75F205FC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ochrony środowiska i przyrody;</w:t>
      </w:r>
    </w:p>
    <w:p w14:paraId="5E47BF0B" w14:textId="6FC69C3F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rolnictwa, leśnictwa i rybactwa śródlądowego;</w:t>
      </w:r>
    </w:p>
    <w:p w14:paraId="0178FE7D" w14:textId="67623143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porządku publicznego i bezpieczeństwa obywateli;</w:t>
      </w:r>
    </w:p>
    <w:p w14:paraId="0E22801B" w14:textId="725583A5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ochrony praw konsumenta;</w:t>
      </w:r>
    </w:p>
    <w:p w14:paraId="5C9944B7" w14:textId="3DF4D4B8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utrzymania powiatowych obiektów i urządzeń użyteczności publicznej oraz obiektów administracyjnych;</w:t>
      </w:r>
    </w:p>
    <w:p w14:paraId="7EEE0BD0" w14:textId="192E550C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lastRenderedPageBreak/>
        <w:t>obronności;</w:t>
      </w:r>
    </w:p>
    <w:p w14:paraId="0D481F4E" w14:textId="52A5509A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promocji powiatu;</w:t>
      </w:r>
    </w:p>
    <w:p w14:paraId="2103D725" w14:textId="2B617B56" w:rsidR="00633C78" w:rsidRPr="00C6337A" w:rsidRDefault="00633C78" w:rsidP="00C6337A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współpracy i działalności na rzecz organizacji pozarządowych oraz podmiotów wymienionych w art. 3 ust. 3 ustawy z dnia 24 kwietnia 2003 r. o działalności pożytku publicznego i o wolontariacie;</w:t>
      </w:r>
    </w:p>
    <w:p w14:paraId="03B0D2EC" w14:textId="45BAA9B0" w:rsidR="00633C78" w:rsidRPr="00C6337A" w:rsidRDefault="00633C7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Pozostałe zadania powiatu realizują jednostki organizacyjne, takie jak . m.in. Powiatowy Urząd Pracy w Gołdapi</w:t>
      </w:r>
      <w:r w:rsidR="00C6337A"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, </w:t>
      </w: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Powiatowe Centrum Pomocy Rodzinie w Gołdapi</w:t>
      </w:r>
      <w:r w:rsidR="00C6337A"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oraz Zarząd Dróg Powiatowych w Gołdapi</w:t>
      </w: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.  </w:t>
      </w:r>
    </w:p>
    <w:p w14:paraId="09547F41" w14:textId="73D61334" w:rsidR="00633C78" w:rsidRPr="00C6337A" w:rsidRDefault="00633C7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ab/>
        <w:t>Nasi mieszkańcy najczęściej zwracają się do nas w sprawach związanych z:</w:t>
      </w:r>
    </w:p>
    <w:p w14:paraId="76ABAE58" w14:textId="66704BF8" w:rsidR="00633C78" w:rsidRPr="00C6337A" w:rsidRDefault="00633C7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- rejestracją pojazdów i wydawaniem uprawnień do kierowania pojazdami – Wydział Komunikacji i Transportu;</w:t>
      </w:r>
    </w:p>
    <w:p w14:paraId="7D1F4D6B" w14:textId="6EB1E50D" w:rsidR="00633C78" w:rsidRPr="00C6337A" w:rsidRDefault="00633C7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- wydawaniem decyzji o pozwoleniu na budowę/rozbiórkę, rejestrację dzienników budowy lub rozbiórki, </w:t>
      </w:r>
      <w:r w:rsidR="00AA5198"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przyjmowaniem zawiadomień o rozpoczęciu robót, rejestracją książek obiektów budowlanych, przyjmowaniem zgłoszeń m.in. budowy ogrodzeń, obiektów małej architektury – Wydział Budownictwa i Ochrony Środowiska;</w:t>
      </w:r>
    </w:p>
    <w:p w14:paraId="39AD1637" w14:textId="1A9E6526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- wydawaniem kart wędkarskich, rejestracją sprzętu pływającego do połowu ryb, wydawaniem zaświadczeń, że grunt (działka) nie jest lasem - Wydział Budownictwa i Ochrony Środowiska;</w:t>
      </w:r>
    </w:p>
    <w:p w14:paraId="499B2232" w14:textId="7349CC0E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- wpisaniem klubów sportowych do ewidencji prowadzonej przez Starostę Gołdapskiego, wnioskowaniem o patronat Starosty nad wydarzeniem – </w:t>
      </w:r>
      <w:r w:rsidR="007F652C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Samodzielne Stanowisko ds. edukacji</w:t>
      </w: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;</w:t>
      </w:r>
    </w:p>
    <w:p w14:paraId="51357A0B" w14:textId="71261A29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Wydawaniem wypisu lub wyrysu z ewidencji gruntów i budynków – Wydział Geodezji i Nieruchomości;</w:t>
      </w:r>
    </w:p>
    <w:p w14:paraId="66AA9DD5" w14:textId="306E2E29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- postępowaniem reklamacyjnym dot. Zakupów towarów i usług – Powiatowy Rzecznik ds. Konsumentów;</w:t>
      </w:r>
    </w:p>
    <w:p w14:paraId="0DEDAD8B" w14:textId="361FE3C9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- wnioskowaniem o skierowanie do szkoły specjalnej, młodzieżowego ośrodka wychowawczego lub socjoterapii, wpis do ewidencji szkół niepublicznych prowadzonych przez Starostę Gołdapskiego, wszczęciem postępowania na stopień nauczyciela mianowanego – Samodzielne stanowisko ds. edukacji;</w:t>
      </w:r>
    </w:p>
    <w:p w14:paraId="353F7347" w14:textId="77777777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- wnioskowaniem o Gołdapską Kartę Seniora – Samodzielne stanowisko ds. zdrowia i opieki społecznej;</w:t>
      </w:r>
    </w:p>
    <w:p w14:paraId="23228B7C" w14:textId="77777777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Wnioskowaniem o udzielenie informacji publicznej, zgłoszeniem znalezionych przedmiotów  do Biura Rzeczy Znalezionych – Wydział Organizacyjny.</w:t>
      </w:r>
    </w:p>
    <w:p w14:paraId="4B8005ED" w14:textId="79CCE688" w:rsidR="00AA5198" w:rsidRPr="00C6337A" w:rsidRDefault="00AA519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Na stronie  </w:t>
      </w:r>
      <w:hyperlink r:id="rId5" w:history="1">
        <w:r w:rsidRPr="00C6337A">
          <w:rPr>
            <w:rStyle w:val="Hipercze"/>
            <w:rFonts w:ascii="Arial" w:eastAsia="Times New Roman" w:hAnsi="Arial" w:cs="Arial"/>
            <w:color w:val="000000" w:themeColor="text1"/>
            <w:sz w:val="20"/>
            <w:szCs w:val="20"/>
            <w:bdr w:val="none" w:sz="0" w:space="0" w:color="auto" w:frame="1"/>
            <w:lang w:eastAsia="pl-PL"/>
          </w:rPr>
          <w:t>https://powiatgoldap.pl/</w:t>
        </w:r>
      </w:hyperlink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w zakładce Starostwo </w:t>
      </w:r>
      <w:r w:rsidR="00EA33B5"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znajduje się szczegółowa lista zadań wszystkich wydziałów i Samodzielnych stanowisk Starostwa Powiatowego </w:t>
      </w:r>
      <w:r w:rsidR="00EA33B5"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br/>
        <w:t xml:space="preserve">w Gołdapi oraz inne niezbędne klientowi informacje dotyczące urzędu. </w:t>
      </w:r>
    </w:p>
    <w:p w14:paraId="48598433" w14:textId="3CFA874C" w:rsidR="00C6337A" w:rsidRPr="00C6337A" w:rsidRDefault="00C6337A" w:rsidP="00C6337A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337A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  <w:t>Starostwo Powiatowe w Gołdapi</w:t>
      </w:r>
      <w:r w:rsidRPr="00C6337A">
        <w:rPr>
          <w:rFonts w:ascii="Arial" w:hAnsi="Arial" w:cs="Arial"/>
          <w:color w:val="000000" w:themeColor="text1"/>
          <w:sz w:val="20"/>
          <w:szCs w:val="20"/>
        </w:rPr>
        <w:t xml:space="preserve"> realizując zapisy ustawy z dnia 19.07.2019r. o zapewnieniu dostępności osobom ze szczególnymi potrzebami oraz ustawy z dnia 19 sierpnia 2011 r. o języku migowym i innych środkach komunikowania się,  umożliwia osobom głuchym lub słabosłyszącym korzystanie  z pomocy tłumacza języka migowego </w:t>
      </w:r>
      <w:r w:rsidR="007F652C">
        <w:rPr>
          <w:rFonts w:ascii="Arial" w:hAnsi="Arial" w:cs="Arial"/>
          <w:color w:val="000000" w:themeColor="text1"/>
          <w:sz w:val="20"/>
          <w:szCs w:val="20"/>
        </w:rPr>
        <w:t xml:space="preserve">za pomocą usługi </w:t>
      </w:r>
      <w:proofErr w:type="spellStart"/>
      <w:r w:rsidR="007F652C">
        <w:rPr>
          <w:rFonts w:ascii="Arial" w:hAnsi="Arial" w:cs="Arial"/>
          <w:color w:val="000000" w:themeColor="text1"/>
          <w:sz w:val="20"/>
          <w:szCs w:val="20"/>
        </w:rPr>
        <w:t>widotłumacza</w:t>
      </w:r>
      <w:proofErr w:type="spellEnd"/>
      <w:r w:rsidRPr="00C6337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D31681A" w14:textId="77777777" w:rsidR="00C6337A" w:rsidRPr="00C6337A" w:rsidRDefault="00C6337A" w:rsidP="00C6337A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337A">
        <w:rPr>
          <w:rFonts w:ascii="Arial" w:hAnsi="Arial" w:cs="Arial"/>
          <w:color w:val="000000" w:themeColor="text1"/>
          <w:sz w:val="20"/>
          <w:szCs w:val="20"/>
        </w:rPr>
        <w:t>Skorzystanie z usługi jest bezpłatne i nie wymaga wcześniejszego umawiania się na wizytę.</w:t>
      </w:r>
    </w:p>
    <w:p w14:paraId="4120FBA8" w14:textId="7DDD5818" w:rsidR="00C6337A" w:rsidRPr="00C6337A" w:rsidRDefault="00C6337A" w:rsidP="00C6337A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337A">
        <w:rPr>
          <w:rFonts w:ascii="Arial" w:hAnsi="Arial" w:cs="Arial"/>
          <w:color w:val="000000" w:themeColor="text1"/>
          <w:sz w:val="20"/>
          <w:szCs w:val="20"/>
        </w:rPr>
        <w:t>Z usługi tłumacza j</w:t>
      </w:r>
      <w:r w:rsidR="007F652C">
        <w:rPr>
          <w:rFonts w:ascii="Arial" w:hAnsi="Arial" w:cs="Arial"/>
          <w:color w:val="000000" w:themeColor="text1"/>
          <w:sz w:val="20"/>
          <w:szCs w:val="20"/>
        </w:rPr>
        <w:t>ęzyka</w:t>
      </w:r>
      <w:r w:rsidRPr="00C6337A">
        <w:rPr>
          <w:rFonts w:ascii="Arial" w:hAnsi="Arial" w:cs="Arial"/>
          <w:color w:val="000000" w:themeColor="text1"/>
          <w:sz w:val="20"/>
          <w:szCs w:val="20"/>
        </w:rPr>
        <w:t xml:space="preserve">. migowego można skorzystać </w:t>
      </w:r>
      <w:r w:rsidR="007F652C">
        <w:rPr>
          <w:rFonts w:ascii="Arial" w:hAnsi="Arial" w:cs="Arial"/>
          <w:color w:val="000000" w:themeColor="text1"/>
          <w:sz w:val="20"/>
          <w:szCs w:val="20"/>
        </w:rPr>
        <w:t>w następujący</w:t>
      </w:r>
      <w:r w:rsidRPr="00C6337A">
        <w:rPr>
          <w:rFonts w:ascii="Arial" w:hAnsi="Arial" w:cs="Arial"/>
          <w:color w:val="000000" w:themeColor="text1"/>
          <w:sz w:val="20"/>
          <w:szCs w:val="20"/>
        </w:rPr>
        <w:t xml:space="preserve"> sposób:</w:t>
      </w:r>
    </w:p>
    <w:p w14:paraId="29633DF7" w14:textId="7316C5A1" w:rsidR="00C6337A" w:rsidRPr="00C6337A" w:rsidRDefault="00C6337A" w:rsidP="007F652C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337A">
        <w:rPr>
          <w:rFonts w:ascii="Arial" w:hAnsi="Arial" w:cs="Arial"/>
          <w:color w:val="000000" w:themeColor="text1"/>
          <w:sz w:val="20"/>
          <w:szCs w:val="20"/>
        </w:rPr>
        <w:t>Poprzez zgłoszenie się ze swoją sprawą do siedziby</w:t>
      </w:r>
      <w:r w:rsidR="007F652C">
        <w:rPr>
          <w:rFonts w:ascii="Arial" w:hAnsi="Arial" w:cs="Arial"/>
          <w:color w:val="000000" w:themeColor="text1"/>
          <w:sz w:val="20"/>
          <w:szCs w:val="20"/>
        </w:rPr>
        <w:t xml:space="preserve"> urzędu</w:t>
      </w:r>
      <w:r w:rsidRPr="00C6337A">
        <w:rPr>
          <w:rFonts w:ascii="Arial" w:hAnsi="Arial" w:cs="Arial"/>
          <w:color w:val="000000" w:themeColor="text1"/>
          <w:sz w:val="20"/>
          <w:szCs w:val="20"/>
        </w:rPr>
        <w:t xml:space="preserve">, gdzie znajduje się oznakowane   stanowisko z dostępem do usługi. Pracownik (za pośrednictwem komputera z kamerą) połączy się z </w:t>
      </w:r>
      <w:r w:rsidRPr="00C6337A">
        <w:rPr>
          <w:rFonts w:ascii="Arial" w:hAnsi="Arial" w:cs="Arial"/>
          <w:color w:val="000000" w:themeColor="text1"/>
          <w:sz w:val="20"/>
          <w:szCs w:val="20"/>
        </w:rPr>
        <w:lastRenderedPageBreak/>
        <w:t>tłumaczem j. migowego. Tłumacz będzie pośredniczył w rozmowie między klientem a urzędnikiem. Rozmowa odbywa się w czasie rzeczywistym.</w:t>
      </w:r>
    </w:p>
    <w:p w14:paraId="01A0C40F" w14:textId="77777777" w:rsidR="00C6337A" w:rsidRPr="00C6337A" w:rsidRDefault="00C6337A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</w:p>
    <w:p w14:paraId="032CBC3F" w14:textId="7024CBE3" w:rsidR="00AA5198" w:rsidRPr="00AB06E7" w:rsidRDefault="00AB06E7" w:rsidP="00AB06E7">
      <w:r w:rsidRPr="00AB06E7">
        <w:t xml:space="preserve">Materiał powstał w </w:t>
      </w:r>
      <w:r w:rsidR="005244CF">
        <w:t>ramach p</w:t>
      </w:r>
      <w:r w:rsidRPr="00AB06E7">
        <w:t>rojekt</w:t>
      </w:r>
      <w:r w:rsidR="005244CF">
        <w:t>u</w:t>
      </w:r>
      <w:r w:rsidRPr="00AB06E7">
        <w:t xml:space="preserve"> pn. „Dostępny samorząd – granty” finansowan</w:t>
      </w:r>
      <w:r w:rsidR="005244CF">
        <w:t>ego</w:t>
      </w:r>
      <w:r w:rsidRPr="00AB06E7">
        <w:t xml:space="preserve"> ze środków Programu Operacyjnego Wiedza Edukacja Rozwój (PO WER) 2014-2020, Działanie 2.18 Wysokiej jakości usługi administracyjne.</w:t>
      </w:r>
    </w:p>
    <w:p w14:paraId="124E1ECB" w14:textId="77777777" w:rsidR="00633C78" w:rsidRPr="00C6337A" w:rsidRDefault="00633C78" w:rsidP="00C6337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auto" w:frame="1"/>
          <w:lang w:eastAsia="pl-PL"/>
        </w:rPr>
      </w:pPr>
    </w:p>
    <w:p w14:paraId="1EE67A81" w14:textId="77777777" w:rsidR="007042DC" w:rsidRPr="00C6337A" w:rsidRDefault="007042DC" w:rsidP="00C6337A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7042DC" w:rsidRPr="00C6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5B9"/>
    <w:multiLevelType w:val="hybridMultilevel"/>
    <w:tmpl w:val="D5DE4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9FD"/>
    <w:multiLevelType w:val="hybridMultilevel"/>
    <w:tmpl w:val="4AC83BA6"/>
    <w:lvl w:ilvl="0" w:tplc="E3302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5A03"/>
    <w:multiLevelType w:val="hybridMultilevel"/>
    <w:tmpl w:val="B83C6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7724"/>
    <w:multiLevelType w:val="hybridMultilevel"/>
    <w:tmpl w:val="B3D6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908A6"/>
    <w:multiLevelType w:val="hybridMultilevel"/>
    <w:tmpl w:val="F6AE3494"/>
    <w:lvl w:ilvl="0" w:tplc="5E208E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08DC"/>
    <w:multiLevelType w:val="hybridMultilevel"/>
    <w:tmpl w:val="3A22B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2247">
    <w:abstractNumId w:val="0"/>
  </w:num>
  <w:num w:numId="2" w16cid:durableId="2093775891">
    <w:abstractNumId w:val="4"/>
  </w:num>
  <w:num w:numId="3" w16cid:durableId="523134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525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7048868">
    <w:abstractNumId w:val="2"/>
  </w:num>
  <w:num w:numId="6" w16cid:durableId="1701390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18"/>
    <w:rsid w:val="000C4CAC"/>
    <w:rsid w:val="00194F79"/>
    <w:rsid w:val="003A7F9D"/>
    <w:rsid w:val="005244CF"/>
    <w:rsid w:val="00633C78"/>
    <w:rsid w:val="007042DC"/>
    <w:rsid w:val="007F652C"/>
    <w:rsid w:val="00AA5198"/>
    <w:rsid w:val="00AB06E7"/>
    <w:rsid w:val="00B85618"/>
    <w:rsid w:val="00C6337A"/>
    <w:rsid w:val="00EA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F0C5"/>
  <w15:chartTrackingRefBased/>
  <w15:docId w15:val="{1DEE020D-3050-4D4A-BF55-C5B4A8AC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6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61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3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golda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741</Words>
  <Characters>4885</Characters>
  <Application>Microsoft Office Word</Application>
  <DocSecurity>0</DocSecurity>
  <Lines>88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2</cp:revision>
  <dcterms:created xsi:type="dcterms:W3CDTF">2023-09-04T11:45:00Z</dcterms:created>
  <dcterms:modified xsi:type="dcterms:W3CDTF">2023-09-04T11:45:00Z</dcterms:modified>
</cp:coreProperties>
</file>