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964ADE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 w:rsidRPr="00964ADE">
        <w:rPr>
          <w:rFonts w:asciiTheme="minorHAnsi" w:hAnsiTheme="minorHAnsi" w:cstheme="minorHAnsi"/>
          <w:b/>
          <w:iCs/>
          <w:sz w:val="20"/>
          <w:szCs w:val="20"/>
        </w:rPr>
        <w:t xml:space="preserve">Załącznik nr </w:t>
      </w:r>
      <w:r w:rsidR="0008546C" w:rsidRPr="00964ADE">
        <w:rPr>
          <w:rFonts w:asciiTheme="minorHAnsi" w:hAnsiTheme="minorHAnsi" w:cstheme="minorHAnsi"/>
          <w:b/>
          <w:iCs/>
          <w:sz w:val="20"/>
          <w:szCs w:val="20"/>
        </w:rPr>
        <w:t>1</w:t>
      </w:r>
      <w:r w:rsidR="0099093D" w:rsidRPr="00964ADE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964ADE">
        <w:rPr>
          <w:rFonts w:asciiTheme="minorHAnsi" w:hAnsiTheme="minorHAnsi" w:cstheme="minorHAnsi"/>
          <w:b/>
          <w:iCs/>
          <w:sz w:val="20"/>
          <w:szCs w:val="20"/>
        </w:rPr>
        <w:t>do SIWZ</w:t>
      </w:r>
    </w:p>
    <w:p w:rsidR="009C20FF" w:rsidRPr="00964ADE" w:rsidRDefault="00402BE1" w:rsidP="005E15B1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964A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64ADE">
        <w:rPr>
          <w:rFonts w:asciiTheme="minorHAnsi" w:hAnsiTheme="minorHAnsi" w:cstheme="minorHAnsi"/>
          <w:b/>
          <w:sz w:val="20"/>
          <w:szCs w:val="20"/>
          <w:lang w:eastAsia="ar-SA"/>
        </w:rPr>
        <w:t>ED.</w:t>
      </w:r>
      <w:r w:rsidR="00675F85" w:rsidRPr="00964ADE">
        <w:rPr>
          <w:rFonts w:asciiTheme="minorHAnsi" w:hAnsiTheme="minorHAnsi" w:cstheme="minorHAnsi"/>
          <w:b/>
          <w:sz w:val="20"/>
          <w:szCs w:val="20"/>
          <w:lang w:eastAsia="ar-SA"/>
        </w:rPr>
        <w:t>272</w:t>
      </w:r>
      <w:r w:rsidR="00A26D7C">
        <w:rPr>
          <w:rFonts w:asciiTheme="minorHAnsi" w:hAnsiTheme="minorHAnsi" w:cstheme="minorHAnsi"/>
          <w:b/>
          <w:sz w:val="20"/>
          <w:szCs w:val="20"/>
          <w:lang w:eastAsia="ar-SA"/>
        </w:rPr>
        <w:t>.</w:t>
      </w:r>
      <w:r w:rsidR="00AB4E3C">
        <w:rPr>
          <w:rFonts w:asciiTheme="minorHAnsi" w:hAnsiTheme="minorHAnsi" w:cstheme="minorHAnsi"/>
          <w:b/>
          <w:sz w:val="20"/>
          <w:szCs w:val="20"/>
          <w:lang w:eastAsia="ar-SA"/>
        </w:rPr>
        <w:t>9</w:t>
      </w:r>
      <w:r w:rsidR="00675F85" w:rsidRPr="00964ADE">
        <w:rPr>
          <w:rFonts w:asciiTheme="minorHAnsi" w:hAnsiTheme="minorHAnsi" w:cstheme="minorHAnsi"/>
          <w:b/>
          <w:sz w:val="20"/>
          <w:szCs w:val="20"/>
          <w:lang w:eastAsia="ar-SA"/>
        </w:rPr>
        <w:t>.2019</w:t>
      </w:r>
    </w:p>
    <w:p w:rsidR="00436A29" w:rsidRPr="00964ADE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36A29" w:rsidRPr="00964ADE" w:rsidRDefault="0008546C" w:rsidP="00964AD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64ADE">
        <w:rPr>
          <w:rFonts w:asciiTheme="minorHAnsi" w:hAnsiTheme="minorHAnsi" w:cstheme="minorHAnsi"/>
          <w:sz w:val="20"/>
          <w:szCs w:val="20"/>
        </w:rPr>
        <w:t>SZCZEGOŁOWY OPIS PRZEDMIOTU ZAMÓWIENIA</w:t>
      </w:r>
      <w:r w:rsidR="001E0A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546C" w:rsidRPr="00964ADE" w:rsidRDefault="00914189" w:rsidP="0008546C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Przetarg nieograniczony na </w:t>
      </w:r>
      <w:r>
        <w:rPr>
          <w:rFonts w:asciiTheme="minorHAnsi" w:hAnsiTheme="minorHAnsi" w:cstheme="minorHAnsi"/>
          <w:b/>
          <w:sz w:val="20"/>
          <w:szCs w:val="20"/>
        </w:rPr>
        <w:t>dostawę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546C" w:rsidRPr="00964ADE">
        <w:rPr>
          <w:rFonts w:asciiTheme="minorHAnsi" w:hAnsiTheme="minorHAnsi" w:cstheme="minorHAnsi"/>
          <w:b/>
          <w:bCs/>
          <w:sz w:val="20"/>
          <w:szCs w:val="20"/>
        </w:rPr>
        <w:t xml:space="preserve">stanowisk  demonstracyjnych i pomocy dydaktycznych  do   Zespołu Szkół Zawodowych w Gołdapi w związku z realizacją projektu 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 xml:space="preserve">pn. </w:t>
      </w:r>
      <w:r>
        <w:rPr>
          <w:rFonts w:asciiTheme="minorHAnsi" w:hAnsiTheme="minorHAnsi" w:cstheme="minorHAnsi"/>
          <w:b/>
          <w:sz w:val="20"/>
          <w:szCs w:val="20"/>
        </w:rPr>
        <w:t>„Kwalifikacje  drogą do sukcesu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>”</w:t>
      </w:r>
      <w:r w:rsidR="0008546C" w:rsidRPr="00964A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 xml:space="preserve">w ramach </w:t>
      </w:r>
      <w:r w:rsidR="0008546C" w:rsidRPr="00964ADE">
        <w:rPr>
          <w:rFonts w:asciiTheme="minorHAnsi" w:hAnsiTheme="minorHAnsi" w:cstheme="minorHAnsi"/>
          <w:b/>
          <w:bCs/>
          <w:sz w:val="20"/>
          <w:szCs w:val="20"/>
        </w:rPr>
        <w:t>Regionalnego Programu Operacyjnego Województwa Warmińsko-Mazurskiego na lata 2014-2020</w:t>
      </w:r>
      <w:r w:rsidR="0008546C" w:rsidRPr="00964ADE">
        <w:rPr>
          <w:rFonts w:asciiTheme="minorHAnsi" w:hAnsiTheme="minorHAnsi" w:cstheme="minorHAnsi"/>
          <w:b/>
          <w:sz w:val="20"/>
          <w:szCs w:val="20"/>
        </w:rPr>
        <w:t>” w tym :</w:t>
      </w:r>
    </w:p>
    <w:p w:rsidR="0008546C" w:rsidRPr="00964ADE" w:rsidRDefault="0008546C" w:rsidP="0008546C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84"/>
        <w:gridCol w:w="1977"/>
        <w:gridCol w:w="6901"/>
        <w:gridCol w:w="698"/>
      </w:tblGrid>
      <w:tr w:rsidR="00964ADE" w:rsidRPr="00964ADE" w:rsidTr="00D379E5">
        <w:tc>
          <w:tcPr>
            <w:tcW w:w="484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</w:p>
        </w:tc>
        <w:tc>
          <w:tcPr>
            <w:tcW w:w="1977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Nazwa sprzętu</w:t>
            </w:r>
          </w:p>
        </w:tc>
        <w:tc>
          <w:tcPr>
            <w:tcW w:w="6901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Wymagane minimalne parametry techniczne </w:t>
            </w:r>
          </w:p>
        </w:tc>
        <w:tc>
          <w:tcPr>
            <w:tcW w:w="698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</w:p>
        </w:tc>
      </w:tr>
      <w:tr w:rsidR="00964ADE" w:rsidRPr="00964ADE" w:rsidTr="00D379E5">
        <w:tc>
          <w:tcPr>
            <w:tcW w:w="484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zestaw panelowy -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Sensoryka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systemów pojazdowych</w:t>
            </w:r>
          </w:p>
        </w:tc>
        <w:tc>
          <w:tcPr>
            <w:tcW w:w="6901" w:type="dxa"/>
          </w:tcPr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Zestaw panelowy musi umożliwiać naukę umiejętności łączenia, weryfikacji i ocenę parametrów po</w:t>
            </w:r>
            <w:r w:rsidR="00340468"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dzespołów systemu pojazdowego. </w:t>
            </w:r>
          </w:p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Wyposażenie stanowiska: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Panel dystansowy, Włącznik masy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Włącznik zapłonu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Moduł pomiarowy , Anemometr , Diodowy wskaźnik napięcia , Sta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bilizator napięcia 13,6 V  10A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Regul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ator współczynnika wypełnienia, Zespół bezpieczników, Stabilizator napięcia 5 V, Dmuchawa, Czujnik spalania stukowego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Czujnik temperatury silnika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Czujnik temperatury powietrza, Sonda Lambda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Czujnik aktywny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prędkości obrotowej, Czujnik prędkości pojazdu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Czujnik przyspieszeń pionowych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Czujnik kierunku obrotów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Przepływomierz powietrza masowy [kg/h] ,Przepływomie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rz powietrza masowy HFM5 [kg/h]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Przepływomier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z powietrza objętościowy [m3/h]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MAP – Senso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r Ford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 MAP – Sensor MM, Czujnik ciśnienia różnicowego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Czujnik ciśnienia różni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cowego DPF, Pompka podciśnienia, Czujnik ciśnienia oleju, Czujnik poziomu paliwa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Transformator bezpieczeństwa 220V/24V ,Autotransformator 24V/2x12V -160W, Prostownik  12/24V- 10A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Zestaw musi posiadać dwa różne i niezależne układy zasilania. Pierwszy - z sieci energetycznej 230V/50Hz poprzez certyfikowany transformator bezpieczeństwa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 przekładnią 230/24 V, natomiast drugi pochodzący z akumulatora samochodowego, zasilając stanowisko napięciem stałym 12 V.</w:t>
            </w:r>
          </w:p>
          <w:p w:rsidR="001E65DF" w:rsidRPr="00964ADE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Wymagania dodatkowe:</w:t>
            </w:r>
          </w:p>
          <w:p w:rsidR="000473DD" w:rsidRPr="00AB4E3C" w:rsidRDefault="000473DD" w:rsidP="000473D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Zestaw musi być zamontowany na odpowiednim stelażu stanowiska laboratoryjnego, przystosowanym do przeprowadzenia zajęć dla max trzech uczniów oraz musi posiadać miejsce  na sprzęt komputerowy, oraz musi być </w:t>
            </w:r>
            <w:r w:rsidRPr="00AB4E3C">
              <w:rPr>
                <w:rFonts w:asciiTheme="minorHAnsi" w:hAnsiTheme="minorHAnsi" w:cstheme="minorHAnsi"/>
                <w:sz w:val="20"/>
                <w:szCs w:val="20"/>
              </w:rPr>
              <w:t>wyposażony w odpowiednie przewody i łączniki umożliwiające prawidłowe przeprowadzenie ćwiczenia. Musi istnieć możliwość dowolnej konfiguracji zestawu.</w:t>
            </w:r>
          </w:p>
          <w:p w:rsidR="000473DD" w:rsidRPr="00964ADE" w:rsidRDefault="000473DD" w:rsidP="000473D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4E3C">
              <w:rPr>
                <w:rFonts w:asciiTheme="minorHAnsi" w:hAnsiTheme="minorHAnsi" w:cstheme="minorHAnsi"/>
                <w:sz w:val="20"/>
                <w:szCs w:val="20"/>
              </w:rPr>
              <w:t>Zestaw zawiera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: instrukcję z ćwiczeniami, certyfikat CE, dane techniczne urządzeń, karta gwarancyjna</w:t>
            </w:r>
          </w:p>
        </w:tc>
        <w:tc>
          <w:tcPr>
            <w:tcW w:w="698" w:type="dxa"/>
          </w:tcPr>
          <w:p w:rsidR="001E65DF" w:rsidRPr="00964ADE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64ADE" w:rsidRPr="00964ADE" w:rsidTr="00D379E5">
        <w:tc>
          <w:tcPr>
            <w:tcW w:w="484" w:type="dxa"/>
          </w:tcPr>
          <w:p w:rsidR="001E65DF" w:rsidRPr="00964ADE" w:rsidRDefault="000473DD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77" w:type="dxa"/>
          </w:tcPr>
          <w:p w:rsidR="001E65DF" w:rsidRPr="00964ADE" w:rsidRDefault="0034046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panelowy-  podstawy elektrotechniki i elektroniki pojazdowej</w:t>
            </w:r>
          </w:p>
        </w:tc>
        <w:tc>
          <w:tcPr>
            <w:tcW w:w="6901" w:type="dxa"/>
          </w:tcPr>
          <w:p w:rsidR="00AB4E3C" w:rsidRDefault="00340468" w:rsidP="00AB4E3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Zestaw panelowy przeznaczony do nauki łączenia, weryfikacji i oceny parametrów oraz zapoznania się z podstawowymi obwodami elektrotechnicznymi i elektronicznymi.</w:t>
            </w:r>
          </w:p>
          <w:p w:rsidR="001E65DF" w:rsidRPr="00AB4E3C" w:rsidRDefault="00340468" w:rsidP="00AB4E3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panelowy zawiera następujące wymienne panele/moduły: badanie połączenia rezystorów, sprawdzanie podstawowych praw elektrotechniki, pomiar mocy w obwodach prądu stałego, badanie ele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mentów liniowych i nieliniowych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pomiar indukcyjności własnej metodą techniczną, pomiar indukcyjności własnej metodą rezonansową, pomiar pojemności metodą techniczną, pomiar pojemności metodą rezonansową, pomiar mocy w obwodach prądu przemiennego, badanie obwodów szeregowych RLC, b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adanie obwodów równoległych RLC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badanie transformatora jednofazowego, badanie elementów prostowniczych, badanie elementów stabilizujących, badanie elementów optoelektronicznych, badanie tranzystorów ,badanie układów prostowniczych niesterowanych, badanie układów prostowniczych sterowanych, badanie zasilaczy, badanie stabilizatorów, badanie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układów wzmacniających, badanie funktorów logicznych ,badanie przerzutników cyfrowych, badanie przetworników A/C i C/</w:t>
            </w:r>
            <w:r w:rsidR="006B10F2" w:rsidRPr="00964A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40468" w:rsidRPr="00964ADE" w:rsidRDefault="006B10F2" w:rsidP="006B10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dodatkowe: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musi być zamontowany na odpowiednim stelażu stanowiska laboratoryjnego,( rama aluminiowa) wyjmowane elementy umożliwiają ich wykorzystanie zarówno gdy są zamontowane na stelażu stanowiska jak i poza stelażem. Połączenia między modułami (panelami) wykonane jest za pomocą łączników oraz przewodów. modułów(paneli).  Do stelaża przymocowany blat roboczy. Zestaw powinien  posiadać dwa różne i niezależne układy zasilania. Pierwszy z sieci energetycznej 230V/50Hz poprzez certyfikowany transformator bezpieczeństwa z przekładnią 230/24 V. Natomiast drugi z akumulatora samochodowego</w:t>
            </w:r>
            <w:r w:rsidR="00F83588" w:rsidRPr="00964A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83588" w:rsidRPr="00964ADE" w:rsidRDefault="00F83588" w:rsidP="00F8358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zawiera: instrukcję z ćwiczeniami, certyfikat CE, , karta gwarancyjna</w:t>
            </w:r>
          </w:p>
        </w:tc>
        <w:tc>
          <w:tcPr>
            <w:tcW w:w="698" w:type="dxa"/>
          </w:tcPr>
          <w:p w:rsidR="001E65DF" w:rsidRPr="00964ADE" w:rsidRDefault="0034046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</w:tr>
      <w:tr w:rsidR="00964ADE" w:rsidRPr="00964ADE" w:rsidTr="00AB4E3C">
        <w:trPr>
          <w:trHeight w:val="5197"/>
        </w:trPr>
        <w:tc>
          <w:tcPr>
            <w:tcW w:w="484" w:type="dxa"/>
          </w:tcPr>
          <w:p w:rsidR="001E65DF" w:rsidRPr="00964ADE" w:rsidRDefault="00F8358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1977" w:type="dxa"/>
          </w:tcPr>
          <w:p w:rsidR="001E65DF" w:rsidRPr="00964ADE" w:rsidRDefault="00F8358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zestaw czujników systemów elektronicznych pojazdów</w:t>
            </w:r>
          </w:p>
        </w:tc>
        <w:tc>
          <w:tcPr>
            <w:tcW w:w="6901" w:type="dxa"/>
          </w:tcPr>
          <w:p w:rsidR="006F0E47" w:rsidRPr="00964ADE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Stanowisko demonstracyjne przeznaczone jest do prowadzenia ćwiczeń laboratoryjnych mających na celu pomiary sygnałów i opracowanie charakterystyk czujników stosowanych w elektronicznych systemach sterowania pracą silnika.</w:t>
            </w:r>
          </w:p>
          <w:p w:rsidR="006F0E47" w:rsidRPr="00964ADE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Stanowisko umożliwia:  pomiary parametrów czujników ciśnienia bezwzględnego, pomiary parametrów czujników położenia wału korbowego silnika, pomiary czujnika położenia wału karbowego w wykonaniu palcowym ,zbierających zębatego, pomiary czujnika prędkości pojazdów, umożliwia demonstrowanie momentu wystąpienia iskry zależnie od biegunowości sygnału wejściowego. </w:t>
            </w:r>
          </w:p>
          <w:p w:rsidR="001E65DF" w:rsidRPr="00964ADE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Wyposażenie stanowiska: Typowe czujniki ciśnienia bezwzględnego w kolektorze d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olotowym silnika (MAP - Sensor)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Manowakuometr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Pot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encjometr obrotowy przepustnicy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, Czujnik spalania stukow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ego, Czujnik prędkości pojazdu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, Czujniki położenia wału korbowego silnika, Czujniki położenia wału korbowego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w wykonaniu palcowym, zbierające sygnały z wieńca zębatego i wieńca sektorowego , Woltomierz ze zintegrowanym przełącznikiem.</w:t>
            </w:r>
          </w:p>
          <w:p w:rsidR="00EF7FF8" w:rsidRPr="00964ADE" w:rsidRDefault="006F0E47" w:rsidP="00AB4E3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b/>
                <w:sz w:val="20"/>
                <w:szCs w:val="20"/>
              </w:rPr>
              <w:t>Wymagania dodatkowe: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7FF8"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Bezpłatne szkolenie oraz porady w zakresie instalacji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F7FF8"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i montażu oraz bezpłatne konsultacje ze specjalistami drogą telefoniczną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F7FF8" w:rsidRPr="00964ADE">
              <w:rPr>
                <w:rFonts w:asciiTheme="minorHAnsi" w:hAnsiTheme="minorHAnsi" w:cstheme="minorHAnsi"/>
                <w:sz w:val="20"/>
                <w:szCs w:val="20"/>
              </w:rPr>
              <w:t>i internetową przez okres gwarancji.</w:t>
            </w:r>
          </w:p>
        </w:tc>
        <w:tc>
          <w:tcPr>
            <w:tcW w:w="698" w:type="dxa"/>
          </w:tcPr>
          <w:p w:rsidR="001E65DF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964ADE" w:rsidTr="00D379E5">
        <w:trPr>
          <w:trHeight w:val="70"/>
        </w:trPr>
        <w:tc>
          <w:tcPr>
            <w:tcW w:w="484" w:type="dxa"/>
          </w:tcPr>
          <w:p w:rsidR="006B10F2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77" w:type="dxa"/>
          </w:tcPr>
          <w:p w:rsidR="006B10F2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demonstracyjne- magistrale CAN,LIN,FLEX</w:t>
            </w:r>
            <w:r w:rsidR="00AB4E3C">
              <w:rPr>
                <w:rFonts w:asciiTheme="minorHAnsi" w:hAnsiTheme="minorHAnsi" w:cstheme="minorHAnsi"/>
                <w:sz w:val="20"/>
                <w:szCs w:val="20"/>
              </w:rPr>
              <w:t xml:space="preserve"> Ray</w:t>
            </w:r>
          </w:p>
        </w:tc>
        <w:tc>
          <w:tcPr>
            <w:tcW w:w="6901" w:type="dxa"/>
          </w:tcPr>
          <w:p w:rsidR="00AB4E3C" w:rsidRDefault="00C8666E" w:rsidP="009C02B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przeznaczone jest do prac laboratoryjnych mających na celu zebranie informacji na temat rodzaju sygnału wysyłanego z różnego rodzaju magistrali.</w:t>
            </w:r>
            <w:r w:rsidR="00AB4E3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Sieć CAN, sieć LIN, sieć  </w:t>
            </w:r>
            <w:proofErr w:type="spellStart"/>
            <w:r w:rsidR="00AB4E3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Flex</w:t>
            </w:r>
            <w:proofErr w:type="spellEnd"/>
            <w:r w:rsidR="00AB4E3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Ray, sieć MOST </w:t>
            </w:r>
          </w:p>
          <w:p w:rsidR="009C02B6" w:rsidRPr="00964ADE" w:rsidRDefault="00C8666E" w:rsidP="009C02B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Stanowisko umożliwia pomiary: Pomiar sygnału magistrali w postaci oscylogramu</w:t>
            </w:r>
            <w:r w:rsidR="00460A28"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,Symulacje uszkodzeń linii CAN_L, CAN_H, zwarcie do masy, zwarcie do plusa. </w:t>
            </w:r>
            <w:r w:rsidR="009C02B6"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prezentacyjne musi być zasilane napięciem z sieci energetycznej 220V/50Hz za pośrednictwem transformatora bezpieczeństwa. Podczas normalnej eksploatacji stanowiska nie może występuje zagrożenie porażenia prądem elektrycznym.</w:t>
            </w:r>
          </w:p>
          <w:p w:rsidR="006B10F2" w:rsidRPr="00964ADE" w:rsidRDefault="009C02B6" w:rsidP="00AB4E3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64AD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Wymagania dodatkowe:</w:t>
            </w: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Bezpłatne szkolenie oraz porady w zakresie instalacji </w:t>
            </w:r>
            <w:r w:rsidR="002729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montażu oraz bezpłatne konsultacje ze specjalistami drogą telefoniczną </w:t>
            </w:r>
            <w:r w:rsidR="002729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964A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 internetową przez okres gwarancji.</w:t>
            </w:r>
          </w:p>
        </w:tc>
        <w:tc>
          <w:tcPr>
            <w:tcW w:w="698" w:type="dxa"/>
          </w:tcPr>
          <w:p w:rsidR="006B10F2" w:rsidRPr="00964ADE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964ADE" w:rsidTr="00D379E5">
        <w:tc>
          <w:tcPr>
            <w:tcW w:w="484" w:type="dxa"/>
          </w:tcPr>
          <w:p w:rsidR="006B10F2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:rsidR="006B10F2" w:rsidRPr="00964ADE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skrzynia przekładniowa automatyczna-</w:t>
            </w:r>
          </w:p>
        </w:tc>
        <w:tc>
          <w:tcPr>
            <w:tcW w:w="6901" w:type="dxa"/>
          </w:tcPr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Stanowisko przeznaczone jest do nauki praktycznych umiejętności zawodowych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w zakresie posługiwania się narzędziami, nauki procedur obsługowo-naprawczych, oraz prezentacji budowy, wyposażenia i funkcjonowania danego typu skrzyni biegów. Stanowisko demonstracyjne umożliwia nauczycielom zawodu prowadzenie nauczania budowy skrzyni biegów, rozmieszczenia jej podzespołów, zasad kolejności i specyfiki montażu, pomiarów kontrolnych oraz wielu innych, dotyczących np. czynności obsługowych.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Stanowisko umożliwia bezpieczne wykonywanie przez ucznia wielokrotnych czynności montażu i demontażu, wymiany i weryfikacji takich zespołów jak: 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łożyska, synchronizatory,  przekładnie zębate i wielu innych czynności. </w:t>
            </w:r>
          </w:p>
          <w:p w:rsidR="006B10F2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Skrzynia na stojaku obrotowym wyposażone w kompletny osprzęt wraz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z fragmentem instalacji elektrycznej, czujnikami i mechanizmami wykonawczymi układów regulacji. </w:t>
            </w:r>
          </w:p>
        </w:tc>
        <w:tc>
          <w:tcPr>
            <w:tcW w:w="698" w:type="dxa"/>
          </w:tcPr>
          <w:p w:rsidR="006B10F2" w:rsidRPr="00964ADE" w:rsidRDefault="006B10F2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522A" w:rsidRPr="00964ADE" w:rsidTr="00D379E5">
        <w:tc>
          <w:tcPr>
            <w:tcW w:w="484" w:type="dxa"/>
          </w:tcPr>
          <w:p w:rsidR="00BF522A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77" w:type="dxa"/>
          </w:tcPr>
          <w:p w:rsidR="00BF522A" w:rsidRPr="00964ADE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 - Układ kierowniczy ze wspomaganiem elektrohydraulicznym</w:t>
            </w:r>
          </w:p>
        </w:tc>
        <w:tc>
          <w:tcPr>
            <w:tcW w:w="6901" w:type="dxa"/>
          </w:tcPr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Kompletne stanowisko służące do demonstracji funkcjonowania układu kierowniczego z możliwością zmiany oporu ruchu przekładni i pomiarem ciśnień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w układzie wspomagania oraz prądu i napięcia zasilającego w układzie wspomagania. 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Wyposażenie s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tanowiska: 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olumna kierownicza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Przekładnia kierownicza zębatk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owa z siłownikiem hydraulicznym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Zintegrowan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silnik elektryczny z pompą olejową - 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zasilanie układu hydraulicznego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Manometr ci</w:t>
            </w:r>
            <w:r w:rsidR="006A3551"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śnienia w układzie wspomagania </w:t>
            </w:r>
          </w:p>
          <w:p w:rsidR="00BF522A" w:rsidRPr="00964ADE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Zasilanie stanowiska odbywa się napięciem stałym 12V z akumulatora pojazdu. Dodatkowo układ zasilany jest z sieci energetycznej 230V/50Hz, za pośrednictwem transformatora bezpieczeństwa i włącznika nadmiarowo–prądowego (układ ładowania akumulatora).</w:t>
            </w:r>
          </w:p>
        </w:tc>
        <w:tc>
          <w:tcPr>
            <w:tcW w:w="698" w:type="dxa"/>
          </w:tcPr>
          <w:p w:rsidR="00BF522A" w:rsidRPr="00964ADE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F522A" w:rsidRPr="00964ADE" w:rsidTr="00D379E5">
        <w:tc>
          <w:tcPr>
            <w:tcW w:w="484" w:type="dxa"/>
          </w:tcPr>
          <w:p w:rsidR="00BF522A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77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 - Układ kierowniczy ze wspomaganiem elektrycznym</w:t>
            </w:r>
          </w:p>
        </w:tc>
        <w:tc>
          <w:tcPr>
            <w:tcW w:w="6901" w:type="dxa"/>
          </w:tcPr>
          <w:p w:rsidR="00964ADE" w:rsidRPr="00964ADE" w:rsidRDefault="00964ADE" w:rsidP="002729B9">
            <w:pPr>
              <w:shd w:val="clear" w:color="auto" w:fill="FFFFFF"/>
              <w:spacing w:after="1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Stanowisko demonstracyjne przeznaczone jest do praktycznego pokazu funkcjonowania układu kierowniczego z możliwością zmiany oporu ruchu przekładni oraz pomiarem prądu i napięcia w układzie wspomagania.</w:t>
            </w:r>
          </w:p>
          <w:p w:rsidR="00964ADE" w:rsidRPr="00964ADE" w:rsidRDefault="00964ADE" w:rsidP="00964ADE">
            <w:pPr>
              <w:shd w:val="clear" w:color="auto" w:fill="FFFFFF"/>
              <w:spacing w:after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Układ kierowniczy składa się z:</w:t>
            </w:r>
          </w:p>
          <w:p w:rsidR="00964ADE" w:rsidRPr="00964ADE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kolumny kierowniczej z zespołem przegubów</w:t>
            </w:r>
          </w:p>
          <w:p w:rsidR="00964ADE" w:rsidRPr="00964ADE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przekładni kierowniczej z siłownikiem elektrycznym zintegrowanej z kolumną kierowniczą</w:t>
            </w:r>
          </w:p>
          <w:p w:rsidR="00964ADE" w:rsidRPr="00964ADE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stanowiska zasilane są napięciem 12V z akumulatora pojazdu</w:t>
            </w:r>
          </w:p>
          <w:p w:rsidR="00BF522A" w:rsidRPr="00964ADE" w:rsidRDefault="00964ADE" w:rsidP="00964AD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Dodatkowo układ zasilany jest z sieci energetycznej 230V/50Hz za pośrednictwem transformatora bezpieczeństwa i wyłącznika nadprądowego (układ ładowania akumulatora).</w:t>
            </w:r>
          </w:p>
        </w:tc>
        <w:tc>
          <w:tcPr>
            <w:tcW w:w="698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F522A" w:rsidRPr="00964ADE" w:rsidTr="00D379E5">
        <w:tc>
          <w:tcPr>
            <w:tcW w:w="484" w:type="dxa"/>
          </w:tcPr>
          <w:p w:rsidR="00BF522A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77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plansza szkoleniowa – system D-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BF522A" w:rsidRPr="00964ADE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BF522A" w:rsidRPr="00964ADE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plansza szkoleniowa – system KE-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964ADE" w:rsidRPr="00964ADE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plansza szkoleniowa – system 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964ADE" w:rsidRPr="00964ADE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964ADE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Montronic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MI 4.1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964ADE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Diesla EDC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5A4AEB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Diesla UIS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964ADE" w:rsidTr="00D379E5">
        <w:tc>
          <w:tcPr>
            <w:tcW w:w="484" w:type="dxa"/>
          </w:tcPr>
          <w:p w:rsidR="00964ADE" w:rsidRPr="00964ADE" w:rsidRDefault="005A4AEB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77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Common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964ADE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964ADE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964ADE" w:rsidTr="00D379E5">
        <w:tc>
          <w:tcPr>
            <w:tcW w:w="484" w:type="dxa"/>
          </w:tcPr>
          <w:p w:rsidR="005A4AEB" w:rsidRPr="00964ADE" w:rsidRDefault="005A4AEB" w:rsidP="00D379E5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79E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Mono- </w:t>
            </w:r>
            <w:proofErr w:type="spellStart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>Motronic</w:t>
            </w:r>
            <w:proofErr w:type="spellEnd"/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6901" w:type="dxa"/>
          </w:tcPr>
          <w:p w:rsidR="005A4AEB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964ADE" w:rsidTr="00D379E5">
        <w:tc>
          <w:tcPr>
            <w:tcW w:w="484" w:type="dxa"/>
          </w:tcPr>
          <w:p w:rsidR="005A4AEB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977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ABS/ASR    </w:t>
            </w:r>
          </w:p>
        </w:tc>
        <w:tc>
          <w:tcPr>
            <w:tcW w:w="6901" w:type="dxa"/>
          </w:tcPr>
          <w:p w:rsidR="005A4AEB" w:rsidRPr="00964ADE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500mm zawierająca główne schematy, przekroje, wykresy, itp. wskazanego  systemu</w:t>
            </w:r>
          </w:p>
        </w:tc>
        <w:tc>
          <w:tcPr>
            <w:tcW w:w="698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964ADE" w:rsidTr="00D379E5">
        <w:tc>
          <w:tcPr>
            <w:tcW w:w="484" w:type="dxa"/>
          </w:tcPr>
          <w:p w:rsidR="005A4AEB" w:rsidRPr="00964ADE" w:rsidRDefault="00D379E5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977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ADE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układy zapłonowe pojazdów    </w:t>
            </w:r>
          </w:p>
        </w:tc>
        <w:tc>
          <w:tcPr>
            <w:tcW w:w="6901" w:type="dxa"/>
          </w:tcPr>
          <w:p w:rsidR="005A4AEB" w:rsidRPr="00964ADE" w:rsidRDefault="005A4AEB" w:rsidP="009F206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lansza wykonana z grubego papieru pokrytego ochronną warstwą lakierowaną zabezpieczająca druk przed działaniem czynników takich jak ścieranie, zagięcia, zabrudzenia. Format plakatu to arkusz o wymiarach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minimum 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700</w:t>
            </w:r>
            <w:r w:rsidRPr="005A4AE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2729B9">
              <w:rPr>
                <w:rFonts w:asciiTheme="minorHAnsi" w:hAnsiTheme="minorHAnsi" w:cstheme="minorHAnsi"/>
                <w:sz w:val="20"/>
                <w:szCs w:val="20"/>
              </w:rPr>
              <w:t>500mm zawierająca</w:t>
            </w:r>
            <w:bookmarkStart w:id="0" w:name="_GoBack"/>
            <w:bookmarkEnd w:id="0"/>
            <w:r w:rsidR="009F206B">
              <w:rPr>
                <w:rFonts w:asciiTheme="minorHAnsi" w:hAnsiTheme="minorHAnsi" w:cstheme="minorHAnsi"/>
                <w:sz w:val="20"/>
                <w:szCs w:val="20"/>
              </w:rPr>
              <w:t>: układy zapłonowe silników.</w:t>
            </w:r>
          </w:p>
        </w:tc>
        <w:tc>
          <w:tcPr>
            <w:tcW w:w="698" w:type="dxa"/>
          </w:tcPr>
          <w:p w:rsidR="005A4AEB" w:rsidRPr="00964ADE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</w:tbl>
    <w:p w:rsidR="0008546C" w:rsidRPr="00964ADE" w:rsidRDefault="0008546C" w:rsidP="000854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08546C" w:rsidRPr="00964ADE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E4" w:rsidRDefault="00C23CE4" w:rsidP="00567E04">
      <w:r>
        <w:separator/>
      </w:r>
    </w:p>
  </w:endnote>
  <w:endnote w:type="continuationSeparator" w:id="0">
    <w:p w:rsidR="00C23CE4" w:rsidRDefault="00C23CE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E4" w:rsidRDefault="00C23CE4" w:rsidP="00567E04">
      <w:r>
        <w:separator/>
      </w:r>
    </w:p>
  </w:footnote>
  <w:footnote w:type="continuationSeparator" w:id="0">
    <w:p w:rsidR="00C23CE4" w:rsidRDefault="00C23CE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3036"/>
    <w:multiLevelType w:val="hybridMultilevel"/>
    <w:tmpl w:val="99143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8B1C78"/>
    <w:multiLevelType w:val="multilevel"/>
    <w:tmpl w:val="BFA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473DD"/>
    <w:rsid w:val="0005590E"/>
    <w:rsid w:val="0008546C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62287"/>
    <w:rsid w:val="0017287A"/>
    <w:rsid w:val="001854CA"/>
    <w:rsid w:val="001857D9"/>
    <w:rsid w:val="001879CB"/>
    <w:rsid w:val="00196A8D"/>
    <w:rsid w:val="00197F9E"/>
    <w:rsid w:val="001A79C4"/>
    <w:rsid w:val="001B0FB6"/>
    <w:rsid w:val="001E0A6D"/>
    <w:rsid w:val="001E30E4"/>
    <w:rsid w:val="001E65DF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729B9"/>
    <w:rsid w:val="00280886"/>
    <w:rsid w:val="002A477C"/>
    <w:rsid w:val="002B51CD"/>
    <w:rsid w:val="002D26B0"/>
    <w:rsid w:val="002D4845"/>
    <w:rsid w:val="002D7E8D"/>
    <w:rsid w:val="00307F46"/>
    <w:rsid w:val="003133EA"/>
    <w:rsid w:val="00340468"/>
    <w:rsid w:val="00343648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3796"/>
    <w:rsid w:val="003E6F57"/>
    <w:rsid w:val="003F2AFE"/>
    <w:rsid w:val="00402BE1"/>
    <w:rsid w:val="00415BE3"/>
    <w:rsid w:val="00417EB5"/>
    <w:rsid w:val="0043367E"/>
    <w:rsid w:val="004354AA"/>
    <w:rsid w:val="00436030"/>
    <w:rsid w:val="00436A29"/>
    <w:rsid w:val="004371CA"/>
    <w:rsid w:val="00460A28"/>
    <w:rsid w:val="004666C9"/>
    <w:rsid w:val="0046770D"/>
    <w:rsid w:val="00492F0B"/>
    <w:rsid w:val="004A09AE"/>
    <w:rsid w:val="004A437A"/>
    <w:rsid w:val="004A6948"/>
    <w:rsid w:val="004D5673"/>
    <w:rsid w:val="004F5708"/>
    <w:rsid w:val="005232CC"/>
    <w:rsid w:val="00567E04"/>
    <w:rsid w:val="00571306"/>
    <w:rsid w:val="00576E00"/>
    <w:rsid w:val="005A3BC5"/>
    <w:rsid w:val="005A4AEB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A3551"/>
    <w:rsid w:val="006B10F2"/>
    <w:rsid w:val="006B6C25"/>
    <w:rsid w:val="006C5E64"/>
    <w:rsid w:val="006D7DC7"/>
    <w:rsid w:val="006F0E47"/>
    <w:rsid w:val="00707FA8"/>
    <w:rsid w:val="00720069"/>
    <w:rsid w:val="00721250"/>
    <w:rsid w:val="00733F06"/>
    <w:rsid w:val="007506C5"/>
    <w:rsid w:val="007522B6"/>
    <w:rsid w:val="00767771"/>
    <w:rsid w:val="00770584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026A"/>
    <w:rsid w:val="00852544"/>
    <w:rsid w:val="008A0297"/>
    <w:rsid w:val="008D24F7"/>
    <w:rsid w:val="008F0F69"/>
    <w:rsid w:val="008F6BB9"/>
    <w:rsid w:val="00906786"/>
    <w:rsid w:val="00913A6E"/>
    <w:rsid w:val="00914189"/>
    <w:rsid w:val="00922172"/>
    <w:rsid w:val="00944D9D"/>
    <w:rsid w:val="00964ADE"/>
    <w:rsid w:val="00967909"/>
    <w:rsid w:val="0097295A"/>
    <w:rsid w:val="00975F01"/>
    <w:rsid w:val="00983CB0"/>
    <w:rsid w:val="0099093D"/>
    <w:rsid w:val="009974AD"/>
    <w:rsid w:val="009B66A4"/>
    <w:rsid w:val="009C02B6"/>
    <w:rsid w:val="009C20FF"/>
    <w:rsid w:val="009C2887"/>
    <w:rsid w:val="009C5244"/>
    <w:rsid w:val="009D2D23"/>
    <w:rsid w:val="009F206B"/>
    <w:rsid w:val="00A01E7F"/>
    <w:rsid w:val="00A06F1E"/>
    <w:rsid w:val="00A26D7C"/>
    <w:rsid w:val="00A3708E"/>
    <w:rsid w:val="00A42C08"/>
    <w:rsid w:val="00A478AB"/>
    <w:rsid w:val="00A644C3"/>
    <w:rsid w:val="00A82AB8"/>
    <w:rsid w:val="00A850A5"/>
    <w:rsid w:val="00AB4E3C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BF522A"/>
    <w:rsid w:val="00C03C04"/>
    <w:rsid w:val="00C16943"/>
    <w:rsid w:val="00C23CE4"/>
    <w:rsid w:val="00C32081"/>
    <w:rsid w:val="00C415C3"/>
    <w:rsid w:val="00C41621"/>
    <w:rsid w:val="00C51DF0"/>
    <w:rsid w:val="00C569C1"/>
    <w:rsid w:val="00C762FA"/>
    <w:rsid w:val="00C8666E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379E5"/>
    <w:rsid w:val="00D40A3E"/>
    <w:rsid w:val="00D51ECC"/>
    <w:rsid w:val="00D5319D"/>
    <w:rsid w:val="00D609DA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EF7FF8"/>
    <w:rsid w:val="00F00234"/>
    <w:rsid w:val="00F10080"/>
    <w:rsid w:val="00F26E8E"/>
    <w:rsid w:val="00F46078"/>
    <w:rsid w:val="00F579B0"/>
    <w:rsid w:val="00F65ECB"/>
    <w:rsid w:val="00F7211C"/>
    <w:rsid w:val="00F83588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1723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2019-03-18T07:13:00Z</cp:lastPrinted>
  <dcterms:created xsi:type="dcterms:W3CDTF">2019-07-24T05:07:00Z</dcterms:created>
  <dcterms:modified xsi:type="dcterms:W3CDTF">2019-08-12T10:23:00Z</dcterms:modified>
</cp:coreProperties>
</file>